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30"/>
        <w:jc w:val="center"/>
        <w:rPr>
          <w:rFonts w:cs="Times New Roman"/>
          <w:b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ПОЯСНИТЕЛЬНАЯ ЗАПИСКА</w:t>
      </w:r>
    </w:p>
    <w:p>
      <w:pPr>
        <w:pStyle w:val="Style36"/>
        <w:spacing w:lineRule="auto" w:line="240"/>
        <w:ind w:hanging="0"/>
        <w:jc w:val="center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к проекту федерального закона</w:t>
        <w:br/>
        <w:t xml:space="preserve">«О внесении изменений в Кодекс Российской Федерации </w:t>
        <w:br/>
        <w:t>об административных правонарушениях»</w:t>
      </w:r>
    </w:p>
    <w:p>
      <w:pPr>
        <w:pStyle w:val="Style3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</w:r>
    </w:p>
    <w:p>
      <w:pPr>
        <w:pStyle w:val="Style30"/>
        <w:ind w:firstLine="709"/>
        <w:jc w:val="both"/>
        <w:rPr/>
      </w:pPr>
      <w:r>
        <w:rPr>
          <w:rStyle w:val="Style14"/>
          <w:rFonts w:cs="Times New Roman"/>
          <w:sz w:val="28"/>
          <w:szCs w:val="28"/>
        </w:rPr>
        <w:t>Проект федерального закона «О внесении изменений в Кодекс Российской Федерации об административных правонарушениях»</w:t>
      </w:r>
      <w:r>
        <w:rPr>
          <w:rStyle w:val="Style14"/>
          <w:rFonts w:eastAsia="Times New Roman" w:cs="Times New Roman"/>
          <w:sz w:val="28"/>
          <w:szCs w:val="28"/>
          <w:lang w:eastAsia="ru-RU"/>
        </w:rPr>
        <w:t xml:space="preserve"> </w:t>
      </w:r>
      <w:r>
        <w:rPr>
          <w:rStyle w:val="Style14"/>
          <w:rFonts w:cs="Times New Roman"/>
          <w:sz w:val="28"/>
          <w:szCs w:val="28"/>
        </w:rPr>
        <w:t>(далее ‒ законопроект, Кодекс соответственно) разработан Федеральной службой войск национальной гвардии Российской Федерации в целях  профилактики правонарушений, связанных с нарушением требований</w:t>
        <w:br/>
        <w:t>к антитеррористической защищенности (объектов) территорий.</w:t>
      </w:r>
    </w:p>
    <w:p>
      <w:pPr>
        <w:pStyle w:val="Normal"/>
        <w:shd w:fill="FFFFFF" w:val="clear"/>
        <w:autoSpaceDE w:val="false"/>
        <w:spacing w:lineRule="auto" w:line="240" w:before="0" w:after="0"/>
        <w:ind w:firstLine="709"/>
        <w:jc w:val="both"/>
        <w:rPr/>
      </w:pPr>
      <w:r>
        <w:rPr>
          <w:rStyle w:val="Style14"/>
          <w:rFonts w:cs="Times New Roman" w:ascii="Times New Roman" w:hAnsi="Times New Roman"/>
          <w:sz w:val="28"/>
          <w:szCs w:val="28"/>
        </w:rPr>
        <w:t>Предметом правового регулирования законопроекта являются общественные отношения, связанные c</w:t>
      </w:r>
      <w:r>
        <w:rPr>
          <w:rStyle w:val="Style14"/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ответственностью должностных</w:t>
        <w:br/>
        <w:t>и юридических лиц</w:t>
      </w:r>
      <w:r>
        <w:rPr>
          <w:rStyle w:val="Style14"/>
          <w:rFonts w:cs="Times New Roman" w:ascii="Times New Roman" w:hAnsi="Times New Roman"/>
          <w:sz w:val="28"/>
          <w:szCs w:val="28"/>
        </w:rPr>
        <w:t xml:space="preserve"> </w:t>
      </w:r>
      <w:r>
        <w:rPr>
          <w:rStyle w:val="Style14"/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подразделений ведомственной охраны и частных охранных организаций (далее – подразделения охраны) за нарушение обязательных требований законодательства Российской Федерации.</w:t>
      </w:r>
    </w:p>
    <w:p>
      <w:pPr>
        <w:pStyle w:val="Normal"/>
        <w:shd w:fill="FFFFFF" w:val="clear"/>
        <w:autoSpaceDE w:val="false"/>
        <w:spacing w:lineRule="auto" w:line="240" w:before="0" w:after="0"/>
        <w:ind w:firstLine="709"/>
        <w:jc w:val="both"/>
        <w:rPr/>
      </w:pPr>
      <w:r>
        <w:rPr>
          <w:rStyle w:val="Style14"/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Законопроектом предусмотрено дополнение Кодекса статьей 19.7.17, устанавливающей ответственность должностных и юридических лиц подразделений охраны за непредставление или ненадлежащее представление в территориальный орган Росгвардии, осуществляющий федеральный государственный контроль (надзор) в установленных сферах деятельности, сведений (информации) о начале и об окончании оказания охранных услуг </w:t>
      </w:r>
      <w:r>
        <w:rPr>
          <w:rStyle w:val="Style14"/>
          <w:rFonts w:eastAsia="Times New Roman" w:cs="Times New Roman" w:ascii="Times New Roman" w:hAnsi="Times New Roman"/>
          <w:color w:val="000000"/>
          <w:sz w:val="28"/>
          <w:szCs w:val="28"/>
        </w:rPr>
        <w:t>(принятии объектов под охрану (снятии с охраны)</w:t>
      </w:r>
      <w:r>
        <w:rPr>
          <w:rStyle w:val="Style14"/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.</w:t>
      </w:r>
    </w:p>
    <w:p>
      <w:pPr>
        <w:pStyle w:val="Normal"/>
        <w:tabs>
          <w:tab w:val="clear" w:pos="708"/>
          <w:tab w:val="left" w:pos="943" w:leader="none"/>
        </w:tabs>
        <w:autoSpaceDE w:val="false"/>
        <w:spacing w:lineRule="auto" w:line="240" w:before="0" w:after="0"/>
        <w:ind w:firstLine="68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Норма статьи 19.7.17 Кодекса направлена на недопущение административных правонарушений в указанной сфере деятельности,</w:t>
        <w:br/>
        <w:t>а также на их профилактику.</w:t>
      </w:r>
    </w:p>
    <w:p>
      <w:pPr>
        <w:pStyle w:val="Normal"/>
        <w:shd w:fill="FFFFFF" w:val="clear"/>
        <w:tabs>
          <w:tab w:val="clear" w:pos="708"/>
          <w:tab w:val="left" w:pos="943" w:leader="none"/>
        </w:tabs>
        <w:autoSpaceDE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Проектируемые нормы соответствуют нормам отраслевого законодательства.</w:t>
      </w:r>
    </w:p>
    <w:p>
      <w:pPr>
        <w:pStyle w:val="Normal"/>
        <w:shd w:fill="FFFFFF" w:val="clear"/>
        <w:autoSpaceDE w:val="false"/>
        <w:spacing w:lineRule="auto" w:line="240" w:before="0" w:after="0"/>
        <w:ind w:firstLine="709"/>
        <w:jc w:val="both"/>
        <w:rPr/>
      </w:pPr>
      <w:r>
        <w:rPr>
          <w:rStyle w:val="Style14"/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Проведение специальной военной операции показало необходимость усиления безопасности на объектах критической инфраструктуры страны.</w:t>
      </w:r>
    </w:p>
    <w:p>
      <w:pPr>
        <w:pStyle w:val="Normal"/>
        <w:shd w:fill="FFFFFF" w:val="clear"/>
        <w:autoSpaceDE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Правовое регулирование в указанной сфере деятельности вводится</w:t>
        <w:br/>
        <w:t>в целях предупреждения возможных противоправных посягательств</w:t>
        <w:br/>
        <w:t>с использованием беспилотных воздушных судов на объектах, отнесенных к критическим элементам экономики государства, нарушение функционирования которых может повлиять на экономическую стабильность страны.</w:t>
      </w:r>
    </w:p>
    <w:p>
      <w:pPr>
        <w:pStyle w:val="Normal"/>
        <w:shd w:fill="FFFFFF" w:val="clear"/>
        <w:autoSpaceDE w:val="false"/>
        <w:spacing w:lineRule="auto" w:line="240" w:before="0" w:after="0"/>
        <w:ind w:firstLine="709"/>
        <w:jc w:val="both"/>
        <w:rPr/>
      </w:pPr>
      <w:r>
        <w:rPr>
          <w:rStyle w:val="Style14"/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Проектируемые нормы позволят предупредить нарушения</w:t>
        <w:br/>
        <w:t>со стороны подразделений охраны обязательных требований законодательства Российской Федерации, в частности, установленных Федеральным законом от 31 июля 2025 г. № 320-ФЗ «О внесении изменений в отдельные законодательные акты Российской Федерации».</w:t>
      </w:r>
    </w:p>
    <w:p>
      <w:pPr>
        <w:pStyle w:val="Normal"/>
        <w:shd w:fill="FFFFFF" w:val="clear"/>
        <w:autoSpaceDE w:val="false"/>
        <w:spacing w:lineRule="auto" w:line="240" w:before="0" w:after="0"/>
        <w:ind w:firstLine="709"/>
        <w:jc w:val="both"/>
        <w:rPr/>
      </w:pPr>
      <w:r>
        <w:rPr>
          <w:rStyle w:val="Style14"/>
          <w:rFonts w:cs="Times New Roman" w:ascii="Times New Roman" w:hAnsi="Times New Roman"/>
          <w:sz w:val="28"/>
          <w:szCs w:val="28"/>
        </w:rPr>
        <w:t>Полномочиями по составлению протоколов об административных правонарушениях, а также составлению и рассмотрению дел</w:t>
        <w:br/>
        <w:t>по проектируемой статье Кодекса наделяются должностные лица войск национальной гвардии Российской Федерации.</w:t>
      </w:r>
    </w:p>
    <w:p>
      <w:pPr>
        <w:pStyle w:val="Style26"/>
        <w:spacing w:lineRule="auto" w:line="240" w:before="0" w:after="0"/>
        <w:ind w:firstLine="680"/>
        <w:jc w:val="both"/>
        <w:rPr/>
      </w:pPr>
      <w:r>
        <w:rPr>
          <w:rStyle w:val="Style14"/>
          <w:rFonts w:cs="Times New Roman" w:ascii="Times New Roman" w:hAnsi="Times New Roman"/>
          <w:sz w:val="28"/>
          <w:szCs w:val="28"/>
        </w:rPr>
        <w:t>Законопроект устанавливает ответственность за нарушение требований, оценка соблюдения которых осуществляется Росгвардией</w:t>
        <w:br/>
        <w:t>в рамках федерального государственного контроля (надзора)</w:t>
        <w:br/>
        <w:t>за соблюдением законодательства Российской Федерации в области частной охранной деятельности, а также за деятельностью подразделений охраны юридических лиц с особыми уставными задачами и подразделений  ведомственной охраны.</w:t>
      </w:r>
    </w:p>
    <w:p>
      <w:pPr>
        <w:pStyle w:val="Style26"/>
        <w:spacing w:lineRule="auto" w:line="240" w:before="0"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Вместе с тем законопроект не устанавливает требований, которые связаны с осуществлением предпринимательской и иной экономической деятельности и оценка соблюдения которых осуществляется в рамках государственного контроля (надзора), муниципального контроля, привлечения к административной ответственности, предоставления лицензий и иных разрешений, аккредитации, оценки соответствия продукции, иных форм оценки и экспертизы.</w:t>
      </w:r>
    </w:p>
    <w:p>
      <w:pPr>
        <w:pStyle w:val="Style38"/>
        <w:spacing w:lineRule="auto" w:line="240" w:before="0" w:after="0"/>
        <w:ind w:firstLine="737"/>
        <w:jc w:val="both"/>
        <w:rPr/>
      </w:pPr>
      <w:r>
        <w:rPr>
          <w:rStyle w:val="Style14"/>
          <w:rFonts w:eastAsia="Times New Roman" w:cs="Times New Roman" w:ascii="Times New Roman" w:hAnsi="Times New Roman"/>
          <w:color w:val="000000"/>
          <w:spacing w:val="-4"/>
          <w:sz w:val="28"/>
          <w:szCs w:val="28"/>
          <w:lang w:eastAsia="ru-RU"/>
        </w:rPr>
        <w:t>Необходимо отметить, что инфраструктура государства постоянно подвергается противоправным атакам воздействия беспилотных воздушных судов, что приводит к нарушению или прекращению функционирования ключевых объектов, а также может привести к потере управления экономикой страны или ее административно-территориальной единицы, необратимому негативному изменению (разрушению) либо существенному снижению безопасности жизнедеятельности населения, вследствие чего снижается уровень антитеррористической защищенности в целом.</w:t>
      </w:r>
    </w:p>
    <w:p>
      <w:pPr>
        <w:pStyle w:val="Style38"/>
        <w:spacing w:lineRule="auto" w:line="240" w:before="0" w:after="0"/>
        <w:ind w:firstLine="737"/>
        <w:jc w:val="both"/>
        <w:rPr/>
      </w:pPr>
      <w:r>
        <w:rPr>
          <w:rStyle w:val="Style14"/>
          <w:rFonts w:eastAsia="Times New Roman" w:cs="Times New Roman" w:ascii="Times New Roman" w:hAnsi="Times New Roman"/>
          <w:color w:val="000000"/>
          <w:spacing w:val="-4"/>
          <w:sz w:val="28"/>
          <w:szCs w:val="28"/>
          <w:lang w:eastAsia="ru-RU"/>
        </w:rPr>
        <w:t>Внесение соответствующих изменений обусловлено необходимостью усиления безопасности указанных объектов, принятия дополнительных мер по предупреждению и пресечению террористических посягательств</w:t>
        <w:br/>
        <w:t>на охраняемые подразделениями охраны объекты.</w:t>
      </w:r>
    </w:p>
    <w:p>
      <w:pPr>
        <w:pStyle w:val="Style38"/>
        <w:spacing w:lineRule="auto" w:line="240" w:before="0" w:after="0"/>
        <w:ind w:firstLine="737"/>
        <w:jc w:val="both"/>
        <w:rPr/>
      </w:pPr>
      <w:r>
        <w:rPr>
          <w:rStyle w:val="Style14"/>
          <w:rFonts w:eastAsia="Times New Roman" w:cs="Times New Roman" w:ascii="Times New Roman" w:hAnsi="Times New Roman"/>
          <w:color w:val="000000"/>
          <w:spacing w:val="-4"/>
          <w:sz w:val="28"/>
          <w:szCs w:val="28"/>
          <w:lang w:eastAsia="ru-RU"/>
        </w:rPr>
        <w:t xml:space="preserve">Постановлением Правительства Российской Федерации от 17 декабря 2012 г. № 1318 утверждены Правила </w:t>
      </w:r>
      <w:r>
        <w:rPr>
          <w:rStyle w:val="Style14"/>
          <w:rFonts w:cs="Times New Roman" w:ascii="Times New Roman" w:hAnsi="Times New Roman"/>
          <w:spacing w:val="-4"/>
          <w:kern w:val="0"/>
          <w:sz w:val="28"/>
          <w:szCs w:val="28"/>
          <w:lang w:eastAsia="en-US"/>
        </w:rPr>
        <w:t>проведения федеральными органами исполнительной власти оценки регулирующего воздействия проектов нормативных правовых актов и проектов решений Евразийской экономической комиссии (далее – Правила).</w:t>
      </w:r>
    </w:p>
    <w:p>
      <w:pPr>
        <w:pStyle w:val="Style38"/>
        <w:spacing w:lineRule="auto" w:line="240" w:before="0" w:after="0"/>
        <w:ind w:firstLine="737"/>
        <w:jc w:val="both"/>
        <w:rPr>
          <w:rFonts w:ascii="Times New Roman" w:hAnsi="Times New Roman" w:eastAsia="Times New Roman" w:cs="Times New Roman"/>
          <w:color w:val="000000"/>
          <w:spacing w:val="-4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pacing w:val="-4"/>
          <w:sz w:val="28"/>
          <w:szCs w:val="28"/>
          <w:lang w:eastAsia="ru-RU"/>
        </w:rPr>
        <w:t xml:space="preserve">В соответствии с пунктом 2 Правил предусматривается, что оценка регулирующего воздействия не проводится в отношении проектов актов, направленных на противодействие терроризму при наличии соответствующей позиции ФСБ России. </w:t>
      </w:r>
    </w:p>
    <w:p>
      <w:pPr>
        <w:pStyle w:val="Style26"/>
        <w:spacing w:lineRule="auto" w:line="240" w:before="0" w:after="0"/>
        <w:ind w:firstLine="680"/>
        <w:jc w:val="both"/>
        <w:rPr/>
      </w:pPr>
      <w:r>
        <w:rPr>
          <w:rStyle w:val="Style14"/>
          <w:rFonts w:cs="Times New Roman" w:ascii="Times New Roman" w:hAnsi="Times New Roman"/>
          <w:color w:val="000000"/>
          <w:sz w:val="28"/>
          <w:szCs w:val="28"/>
        </w:rPr>
        <w:t xml:space="preserve">Предмет правового регулирования законопроекта соотносится </w:t>
        <w:br/>
        <w:t>с указанной нормой Правил.</w:t>
      </w:r>
    </w:p>
    <w:p>
      <w:pPr>
        <w:pStyle w:val="Style38"/>
        <w:spacing w:lineRule="auto" w:line="240" w:before="0" w:after="0"/>
        <w:ind w:firstLine="737"/>
        <w:jc w:val="both"/>
        <w:rPr/>
      </w:pPr>
      <w:r>
        <w:rPr>
          <w:rStyle w:val="Style14"/>
          <w:rFonts w:eastAsia="Times New Roman" w:cs="Times New Roman" w:ascii="Times New Roman" w:hAnsi="Times New Roman"/>
          <w:color w:val="000000"/>
          <w:spacing w:val="-4"/>
          <w:sz w:val="28"/>
          <w:szCs w:val="28"/>
          <w:lang w:eastAsia="ru-RU"/>
        </w:rPr>
        <w:t>Положительная позиция ФСБ России об антитеррористической направленности законопроекта получена.</w:t>
      </w:r>
    </w:p>
    <w:p>
      <w:pPr>
        <w:pStyle w:val="Style26"/>
        <w:spacing w:lineRule="auto" w:line="240" w:before="0" w:after="0"/>
        <w:ind w:firstLine="680"/>
        <w:jc w:val="both"/>
        <w:rPr/>
      </w:pPr>
      <w:r>
        <w:rPr>
          <w:rStyle w:val="Style14"/>
          <w:rFonts w:cs="Times New Roman" w:ascii="Times New Roman" w:hAnsi="Times New Roman"/>
          <w:color w:val="000000"/>
          <w:sz w:val="28"/>
          <w:szCs w:val="28"/>
        </w:rPr>
        <w:t>Законопроект</w:t>
      </w:r>
      <w:r>
        <w:rPr>
          <w:rStyle w:val="Style14"/>
          <w:rFonts w:cs="Times New Roman" w:ascii="Times New Roman" w:hAnsi="Times New Roman"/>
          <w:sz w:val="28"/>
          <w:szCs w:val="28"/>
        </w:rPr>
        <w:t xml:space="preserve"> не противоречит актам более высокой юридической силы, в том числе Договору о Евразийском экономическом союзе</w:t>
        <w:br/>
        <w:t>от 29 мая 2014 года, а также положениям иных международных договоров Российской Федерации, не влияет на достижение целей государственных программ Российской Федерации.</w:t>
      </w:r>
    </w:p>
    <w:p>
      <w:pPr>
        <w:pStyle w:val="Style26"/>
        <w:spacing w:lineRule="auto" w:line="240" w:before="0"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Реализация законопроекта не потребует увеличения численности существующих или образования новых структурных подразделений войск национальной гвардии Российской Федерации, а также выделения дополнительного федерального бюджета.</w:t>
      </w:r>
    </w:p>
    <w:p>
      <w:pPr>
        <w:pStyle w:val="Style26"/>
        <w:spacing w:lineRule="auto" w:line="240" w:before="0" w:after="0"/>
        <w:ind w:firstLine="680"/>
        <w:jc w:val="both"/>
        <w:rPr/>
      </w:pPr>
      <w:r>
        <w:rPr>
          <w:rStyle w:val="Style14"/>
          <w:rFonts w:cs="Times New Roman" w:ascii="Times New Roman" w:hAnsi="Times New Roman"/>
          <w:sz w:val="28"/>
          <w:szCs w:val="28"/>
        </w:rPr>
        <w:t>Принятие законопроекта не влечет за собой необходимости дополнительных изменений в законодательные акты Российской Федерации.</w:t>
      </w:r>
    </w:p>
    <w:p>
      <w:pPr>
        <w:pStyle w:val="Style26"/>
        <w:spacing w:lineRule="auto" w:line="240" w:before="0"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26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30"/>
        <w:jc w:val="both"/>
        <w:rPr/>
      </w:pPr>
      <w:r>
        <w:rPr>
          <w:rStyle w:val="Style14"/>
          <w:rFonts w:cs="Times New Roman"/>
          <w:b/>
          <w:sz w:val="28"/>
          <w:szCs w:val="28"/>
        </w:rPr>
        <w:t>Росгвардия</w:t>
      </w:r>
    </w:p>
    <w:sectPr>
      <w:headerReference w:type="default" r:id="rId2"/>
      <w:type w:val="nextPage"/>
      <w:pgSz w:w="11906" w:h="16838"/>
      <w:pgMar w:left="1701" w:right="1134" w:header="567" w:top="1134" w:footer="0" w:bottom="567" w:gutter="0"/>
      <w:pgNumType w:fmt="decimal"/>
      <w:formProt w:val="false"/>
      <w:titlePg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libri">
    <w:charset w:val="cc"/>
    <w:family w:val="swiss"/>
    <w:pitch w:val="variable"/>
  </w:font>
  <w:font w:name="Tahoma">
    <w:charset w:val="cc"/>
    <w:family w:val="swiss"/>
    <w:pitch w:val="variable"/>
  </w:font>
  <w:font w:name="PT Sans">
    <w:charset w:val="cc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/>
    </w:pPr>
    <w:r>
      <w:rPr>
        <w:rStyle w:val="Style14"/>
        <w:rFonts w:cs="Times New Roman" w:ascii="Times New Roman" w:hAnsi="Times New Roman"/>
        <w:sz w:val="24"/>
        <w:szCs w:val="24"/>
      </w:rPr>
      <w:fldChar w:fldCharType="begin"/>
    </w:r>
    <w:r>
      <w:rPr>
        <w:rStyle w:val="Style14"/>
        <w:sz w:val="24"/>
        <w:szCs w:val="24"/>
        <w:rFonts w:cs="Times New Roman" w:ascii="Times New Roman" w:hAnsi="Times New Roman"/>
      </w:rPr>
      <w:instrText> PAGE </w:instrText>
    </w:r>
    <w:r>
      <w:rPr>
        <w:rStyle w:val="Style14"/>
        <w:sz w:val="24"/>
        <w:szCs w:val="24"/>
        <w:rFonts w:cs="Times New Roman" w:ascii="Times New Roman" w:hAnsi="Times New Roman"/>
      </w:rPr>
      <w:fldChar w:fldCharType="separate"/>
    </w:r>
    <w:r>
      <w:rPr>
        <w:rStyle w:val="Style14"/>
        <w:sz w:val="24"/>
        <w:szCs w:val="24"/>
        <w:rFonts w:cs="Times New Roman" w:ascii="Times New Roman" w:hAnsi="Times New Roman"/>
      </w:rPr>
      <w:t>3</w:t>
    </w:r>
    <w:r>
      <w:rPr>
        <w:rStyle w:val="Style14"/>
        <w:sz w:val="24"/>
        <w:szCs w:val="24"/>
        <w:rFonts w:cs="Times New Roman" w:ascii="Times New Roman" w:hAnsi="Times New Roman"/>
      </w:rPr>
      <w:fldChar w:fldCharType="end"/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8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Noto Sans Devanagari"/>
        <w:kern w:val="2"/>
        <w:sz w:val="24"/>
        <w:szCs w:val="24"/>
        <w:lang w:val="ru-RU" w:eastAsia="zh-CN" w:bidi="hi-IN"/>
      </w:rPr>
    </w:rPrDefault>
    <w:pPrDefault>
      <w:pPr>
        <w:suppressAutoHyphens w:val="false"/>
        <w:textAlignment w:val="baselin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76" w:before="0" w:after="200"/>
      <w:jc w:val="left"/>
      <w:textAlignment w:val="baseline"/>
    </w:pPr>
    <w:rPr>
      <w:rFonts w:ascii="Calibri" w:hAnsi="Calibri" w:eastAsia="Calibri" w:cs="Calibri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2"/>
      <w:sz w:val="22"/>
      <w:szCs w:val="22"/>
      <w:u w:val="none"/>
      <w:shd w:fill="auto" w:val="clear"/>
      <w:vertAlign w:val="baseline"/>
      <w:em w:val="none"/>
      <w:lang w:bidi="ar-SA" w:val="ru-RU" w:eastAsia="zh-CN"/>
    </w:rPr>
  </w:style>
  <w:style w:type="character" w:styleId="Style14">
    <w:name w:val="Основной шрифт абзаца"/>
    <w:qFormat/>
    <w:rPr/>
  </w:style>
  <w:style w:type="character" w:styleId="1">
    <w:name w:val="Основной шрифт абзаца1"/>
    <w:qFormat/>
    <w:rPr/>
  </w:style>
  <w:style w:type="character" w:styleId="Style15">
    <w:name w:val="Текст выноски Знак"/>
    <w:qFormat/>
    <w:rPr>
      <w:rFonts w:ascii="Tahoma" w:hAnsi="Tahoma" w:cs="Tahoma"/>
      <w:sz w:val="16"/>
      <w:szCs w:val="16"/>
    </w:rPr>
  </w:style>
  <w:style w:type="character" w:styleId="Style16">
    <w:name w:val="Верхний колонтитул Знак"/>
    <w:basedOn w:val="1"/>
    <w:qFormat/>
    <w:rPr/>
  </w:style>
  <w:style w:type="character" w:styleId="Style17">
    <w:name w:val="Нижний колонтитул Знак"/>
    <w:basedOn w:val="1"/>
    <w:qFormat/>
    <w:rPr/>
  </w:style>
  <w:style w:type="character" w:styleId="Style18">
    <w:name w:val="Интернет-ссылка"/>
    <w:rPr>
      <w:color w:val="000080"/>
      <w:u w:val="single"/>
    </w:rPr>
  </w:style>
  <w:style w:type="character" w:styleId="Style19">
    <w:name w:val="Цветовое выделение для Текст"/>
    <w:qFormat/>
    <w:rPr/>
  </w:style>
  <w:style w:type="character" w:styleId="Style20">
    <w:name w:val="Основной текст_"/>
    <w:qFormat/>
    <w:rPr>
      <w:sz w:val="28"/>
      <w:szCs w:val="28"/>
      <w:shd w:fill="FFFFFF" w:val="clear"/>
    </w:rPr>
  </w:style>
  <w:style w:type="character" w:styleId="Style21">
    <w:name w:val="Текст сноски Знак"/>
    <w:qFormat/>
    <w:rPr>
      <w:rFonts w:ascii="Calibri" w:hAnsi="Calibri" w:eastAsia="Calibri" w:cs="Calibri"/>
      <w:lang w:eastAsia="zh-CN"/>
    </w:rPr>
  </w:style>
  <w:style w:type="character" w:styleId="Style22">
    <w:name w:val="Символ сноски"/>
    <w:qFormat/>
    <w:rPr>
      <w:vertAlign w:val="superscript"/>
    </w:rPr>
  </w:style>
  <w:style w:type="character" w:styleId="Style23">
    <w:name w:val="Привязка сноски"/>
    <w:rPr>
      <w:vertAlign w:val="superscript"/>
    </w:rPr>
  </w:style>
  <w:style w:type="paragraph" w:styleId="Style24">
    <w:name w:val="Обычный"/>
    <w:qFormat/>
    <w:pPr>
      <w:keepNext w:val="false"/>
      <w:keepLines w:val="false"/>
      <w:pageBreakBefore w:val="false"/>
      <w:widowControl w:val="false"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/>
      <w:jc w:val="left"/>
      <w:textAlignment w:val="baseline"/>
    </w:pPr>
    <w:rPr>
      <w:rFonts w:ascii="Times New Roman" w:hAnsi="Times New Roman" w:eastAsia="Tahoma" w:cs="Noto Sans Devanagari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ru-RU" w:eastAsia="zh-CN" w:bidi="hi-IN"/>
    </w:rPr>
  </w:style>
  <w:style w:type="paragraph" w:styleId="Style25">
    <w:name w:val="Заголовок"/>
    <w:basedOn w:val="Normal"/>
    <w:next w:val="Style26"/>
    <w:qFormat/>
    <w:pPr>
      <w:keepNext w:val="true"/>
      <w:suppressAutoHyphens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26">
    <w:name w:val="Body Text"/>
    <w:basedOn w:val="Normal"/>
    <w:pPr>
      <w:suppressAutoHyphens w:val="true"/>
      <w:spacing w:before="0" w:after="140"/>
    </w:pPr>
    <w:rPr/>
  </w:style>
  <w:style w:type="paragraph" w:styleId="Style27">
    <w:name w:val="List"/>
    <w:basedOn w:val="Style26"/>
    <w:pPr>
      <w:suppressAutoHyphens w:val="true"/>
    </w:pPr>
    <w:rPr>
      <w:rFonts w:ascii="PT Sans" w:hAnsi="PT Sans" w:cs="Noto Sans Devanagari"/>
    </w:rPr>
  </w:style>
  <w:style w:type="paragraph" w:styleId="Style28">
    <w:name w:val="Название объекта"/>
    <w:basedOn w:val="Normal"/>
    <w:qFormat/>
    <w:pPr>
      <w:suppressLineNumbers/>
      <w:suppressAutoHyphens w:val="true"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9">
    <w:name w:val="Указатель"/>
    <w:basedOn w:val="Normal"/>
    <w:qFormat/>
    <w:pPr>
      <w:suppressLineNumbers/>
      <w:suppressAutoHyphens w:val="true"/>
    </w:pPr>
    <w:rPr>
      <w:rFonts w:ascii="Times New Roman" w:hAnsi="Times New Roman" w:cs="Noto Sans Devanagari"/>
      <w:sz w:val="24"/>
    </w:rPr>
  </w:style>
  <w:style w:type="paragraph" w:styleId="11">
    <w:name w:val="Указатель1"/>
    <w:basedOn w:val="Normal"/>
    <w:qFormat/>
    <w:pPr>
      <w:suppressLineNumbers/>
      <w:suppressAutoHyphens w:val="true"/>
    </w:pPr>
    <w:rPr>
      <w:rFonts w:ascii="PT Sans" w:hAnsi="PT Sans" w:cs="Noto Sans Devanagari"/>
    </w:rPr>
  </w:style>
  <w:style w:type="paragraph" w:styleId="Style30">
    <w:name w:val="Без интервала"/>
    <w:qFormat/>
    <w:pPr>
      <w:keepNext w:val="false"/>
      <w:keepLines w:val="false"/>
      <w:pageBreakBefore w:val="false"/>
      <w:widowControl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/>
      <w:jc w:val="left"/>
      <w:textAlignment w:val="baseline"/>
    </w:pPr>
    <w:rPr>
      <w:rFonts w:ascii="Times New Roman" w:hAnsi="Times New Roman" w:eastAsia="Tahoma" w:cs="Noto Sans Devanagari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ru-RU" w:eastAsia="zh-CN" w:bidi="hi-IN"/>
    </w:rPr>
  </w:style>
  <w:style w:type="paragraph" w:styleId="Style31">
    <w:name w:val="Текст выноски"/>
    <w:basedOn w:val="Normal"/>
    <w:qFormat/>
    <w:pPr>
      <w:suppressAutoHyphens w:val="true"/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  <w:suppressAutoHyphens w:val="true"/>
    </w:pPr>
    <w:rPr/>
  </w:style>
  <w:style w:type="paragraph" w:styleId="Style33">
    <w:name w:val="Header"/>
    <w:basedOn w:val="Normal"/>
    <w:pPr>
      <w:suppressAutoHyphens w:val="true"/>
      <w:spacing w:lineRule="auto" w:line="240" w:before="0" w:after="0"/>
    </w:pPr>
    <w:rPr/>
  </w:style>
  <w:style w:type="paragraph" w:styleId="Style34">
    <w:name w:val="Footer"/>
    <w:basedOn w:val="Normal"/>
    <w:pPr>
      <w:suppressAutoHyphens w:val="true"/>
      <w:spacing w:lineRule="auto" w:line="240" w:before="0" w:after="0"/>
    </w:pPr>
    <w:rPr/>
  </w:style>
  <w:style w:type="paragraph" w:styleId="ConsPlusNormal">
    <w:name w:val="ConsPlusNormal"/>
    <w:qFormat/>
    <w:pPr>
      <w:keepNext w:val="false"/>
      <w:keepLines w:val="false"/>
      <w:pageBreakBefore w:val="false"/>
      <w:widowControl w:val="false"/>
      <w:pBdr/>
      <w:shd w:fill="auto" w:val="clear"/>
      <w:suppressAutoHyphens w:val="true"/>
      <w:kinsoku w:val="true"/>
      <w:overflowPunct w:val="true"/>
      <w:autoSpaceDE w:val="false"/>
      <w:bidi w:val="0"/>
      <w:snapToGrid w:val="true"/>
      <w:spacing w:lineRule="auto" w:line="240"/>
      <w:jc w:val="left"/>
      <w:textAlignment w:val="baseline"/>
    </w:pPr>
    <w:rPr>
      <w:rFonts w:eastAsia="Times New Roman" w:cs="Times New Roman" w:ascii="Times New Roman" w:hAnsi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bidi="ar-SA" w:val="ru-RU" w:eastAsia="zh-CN"/>
    </w:rPr>
  </w:style>
  <w:style w:type="paragraph" w:styleId="Style35">
    <w:name w:val="Абзац списка"/>
    <w:basedOn w:val="Normal"/>
    <w:qFormat/>
    <w:pPr>
      <w:tabs>
        <w:tab w:val="clear" w:pos="708"/>
      </w:tabs>
      <w:suppressAutoHyphens w:val="true"/>
      <w:spacing w:lineRule="auto" w:line="240" w:before="0" w:after="160"/>
      <w:ind w:left="720" w:hanging="0"/>
    </w:pPr>
    <w:rPr/>
  </w:style>
  <w:style w:type="paragraph" w:styleId="Style36">
    <w:name w:val="Красная строка"/>
    <w:basedOn w:val="Normal"/>
    <w:qFormat/>
    <w:pPr>
      <w:suppressAutoHyphens w:val="true"/>
      <w:ind w:firstLine="709"/>
      <w:jc w:val="both"/>
    </w:pPr>
    <w:rPr/>
  </w:style>
  <w:style w:type="paragraph" w:styleId="12">
    <w:name w:val="Основной текст1"/>
    <w:basedOn w:val="Normal"/>
    <w:qFormat/>
    <w:pPr>
      <w:shd w:fill="FFFFFF" w:val="clear"/>
      <w:suppressAutoHyphens w:val="false"/>
      <w:spacing w:lineRule="exact" w:line="328" w:before="0" w:after="600"/>
    </w:pPr>
    <w:rPr>
      <w:rFonts w:ascii="Times New Roman" w:hAnsi="Times New Roman" w:eastAsia="Times New Roman" w:cs="Times New Roman"/>
      <w:sz w:val="28"/>
      <w:szCs w:val="28"/>
    </w:rPr>
  </w:style>
  <w:style w:type="paragraph" w:styleId="Style37">
    <w:name w:val="Footnote Text"/>
    <w:basedOn w:val="Normal"/>
    <w:pPr>
      <w:suppressAutoHyphens w:val="true"/>
    </w:pPr>
    <w:rPr>
      <w:sz w:val="20"/>
      <w:szCs w:val="20"/>
    </w:rPr>
  </w:style>
  <w:style w:type="paragraph" w:styleId="Sdfootnotewestern">
    <w:name w:val="sdfootnote-western"/>
    <w:basedOn w:val="Normal"/>
    <w:qFormat/>
    <w:pPr>
      <w:suppressAutoHyphens w:val="false"/>
      <w:spacing w:lineRule="auto" w:line="240" w:before="280" w:after="280"/>
    </w:pPr>
    <w:rPr>
      <w:rFonts w:ascii="Times New Roman" w:hAnsi="Times New Roman" w:eastAsia="Times New Roman" w:cs="Times New Roman"/>
      <w:sz w:val="28"/>
      <w:szCs w:val="28"/>
    </w:rPr>
  </w:style>
  <w:style w:type="paragraph" w:styleId="Style38">
    <w:name w:val="Body Text Indent"/>
    <w:basedOn w:val="Style26"/>
    <w:pPr>
      <w:suppressAutoHyphens w:val="true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578</TotalTime>
  <Application>LibreOffice/7.0.4.2$Windows_X86_64 LibreOffice_project/dcf040e67528d9187c66b2379df5ea4407429775</Application>
  <AppVersion>15.0000</AppVersion>
  <Pages>3</Pages>
  <Words>809</Words>
  <Characters>4615</Characters>
  <CharactersWithSpaces>5414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2024-11-13T12:31:00Z</dcterms:created>
  <dc:creator>Симонов Евгений Михайлович</dc:creator>
  <dc:description/>
  <dc:language>ru-RU</dc:language>
  <cp:lastModifiedBy>Бригида Максим Александрович</cp:lastModifiedBy>
  <cp:lastPrinted>2025-10-14T12:23:00Z</cp:lastPrinted>
  <dcterms:modified xsi:type="dcterms:W3CDTF">2025-10-14T12:37:00Z</dcterms:modified>
  <cp:revision>5</cp:revision>
  <dc:subject/>
  <dc:title/>
</cp:coreProperties>
</file>