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5471" w:rsidRDefault="005A761A">
      <w:pPr>
        <w:ind w:left="-108" w:right="-113"/>
        <w:jc w:val="center"/>
      </w:pPr>
      <w:r>
        <w:rPr>
          <w:b/>
        </w:rPr>
        <w:t>ПОЯСНИТЕЛЬНАЯ ЗАПИСКА</w:t>
      </w:r>
    </w:p>
    <w:p w:rsidR="00635471" w:rsidRDefault="005A761A">
      <w:pPr>
        <w:jc w:val="both"/>
      </w:pPr>
      <w:r>
        <w:rPr>
          <w:b/>
          <w:color w:val="000000"/>
        </w:rPr>
        <w:t>к проекту приказа Федеральной службы войск национальной</w:t>
      </w:r>
      <w:r>
        <w:rPr>
          <w:b/>
          <w:color w:val="000000"/>
        </w:rPr>
        <w:br/>
        <w:t>гвардии Р</w:t>
      </w:r>
      <w:r>
        <w:rPr>
          <w:b/>
          <w:bCs/>
          <w:color w:val="000000"/>
        </w:rPr>
        <w:t>оссийской Федерации «</w:t>
      </w:r>
      <w:r>
        <w:rPr>
          <w:b/>
          <w:bCs/>
          <w:color w:val="000000"/>
          <w:spacing w:val="-4"/>
        </w:rPr>
        <w:t xml:space="preserve">О признании утратившими силу </w:t>
      </w:r>
      <w:proofErr w:type="gramStart"/>
      <w:r>
        <w:rPr>
          <w:b/>
          <w:bCs/>
          <w:color w:val="000000"/>
          <w:spacing w:val="-4"/>
        </w:rPr>
        <w:t>приказов Федеральной службы войск национальн</w:t>
      </w:r>
      <w:r w:rsidR="00502943">
        <w:rPr>
          <w:b/>
          <w:bCs/>
          <w:color w:val="000000"/>
          <w:spacing w:val="-4"/>
        </w:rPr>
        <w:t>ой гвардии Российской Федерации</w:t>
      </w:r>
      <w:proofErr w:type="gramEnd"/>
      <w:r w:rsidR="00502943">
        <w:rPr>
          <w:b/>
          <w:bCs/>
          <w:color w:val="000000"/>
          <w:spacing w:val="-4"/>
        </w:rPr>
        <w:t xml:space="preserve"> </w:t>
      </w:r>
      <w:r>
        <w:rPr>
          <w:b/>
          <w:bCs/>
          <w:color w:val="000000"/>
          <w:spacing w:val="-4"/>
        </w:rPr>
        <w:t xml:space="preserve">от  30 ноября  2019 г. № 394 и от 30 </w:t>
      </w:r>
      <w:r>
        <w:rPr>
          <w:b/>
          <w:bCs/>
          <w:color w:val="000000"/>
          <w:spacing w:val="-4"/>
        </w:rPr>
        <w:t>ноября 2019 г. № 395</w:t>
      </w:r>
      <w:r>
        <w:rPr>
          <w:b/>
          <w:bCs/>
          <w:color w:val="000000"/>
        </w:rPr>
        <w:t>»</w:t>
      </w:r>
    </w:p>
    <w:p w:rsidR="00635471" w:rsidRDefault="00635471">
      <w:pPr>
        <w:pStyle w:val="ConsPlusTitle"/>
        <w:widowControl/>
        <w:ind w:right="-1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635471" w:rsidRDefault="005A761A">
      <w:pPr>
        <w:ind w:firstLine="709"/>
        <w:jc w:val="both"/>
      </w:pPr>
      <w:proofErr w:type="gramStart"/>
      <w:r>
        <w:rPr>
          <w:rFonts w:eastAsia="Calibri"/>
          <w:color w:val="000000"/>
          <w:spacing w:val="-6"/>
        </w:rPr>
        <w:t xml:space="preserve">Проект приказа Федеральной службы войск национальной гвардии Российской Федерации </w:t>
      </w:r>
      <w:r>
        <w:rPr>
          <w:rFonts w:eastAsia="Calibri"/>
          <w:color w:val="000000"/>
          <w:spacing w:val="-6"/>
        </w:rPr>
        <w:t>«</w:t>
      </w:r>
      <w:r>
        <w:rPr>
          <w:color w:val="000000"/>
          <w:spacing w:val="-4"/>
        </w:rPr>
        <w:t>О признании утратившими силу приказов Федеральной службы войск национальной гвардии Российской Федерации</w:t>
      </w:r>
      <w:r>
        <w:br/>
      </w:r>
      <w:r>
        <w:rPr>
          <w:color w:val="000000"/>
          <w:spacing w:val="-4"/>
        </w:rPr>
        <w:t>от 30 ноября 2019 г. № 394 и от 30 ноября 201</w:t>
      </w:r>
      <w:r>
        <w:rPr>
          <w:color w:val="000000"/>
          <w:spacing w:val="-4"/>
        </w:rPr>
        <w:t>9 г. № 395</w:t>
      </w:r>
      <w:r>
        <w:rPr>
          <w:rFonts w:eastAsia="Calibri"/>
          <w:color w:val="000000"/>
          <w:spacing w:val="-6"/>
        </w:rPr>
        <w:t>» (далее – проект приказа) подготовлен в связи с принятием федеральных законов от 30 ноября 2024 г. № 427-ФЗ «О частной охранной деятельности»</w:t>
      </w:r>
      <w:r>
        <w:rPr>
          <w:rFonts w:eastAsia="Calibri"/>
          <w:color w:val="FF0000"/>
          <w:spacing w:val="-6"/>
        </w:rPr>
        <w:t xml:space="preserve"> </w:t>
      </w:r>
      <w:r>
        <w:rPr>
          <w:rFonts w:eastAsia="Calibri"/>
          <w:color w:val="000000"/>
          <w:spacing w:val="-6"/>
        </w:rPr>
        <w:t>и от 30 ноября 2024 г</w:t>
      </w:r>
      <w:proofErr w:type="gramEnd"/>
      <w:r>
        <w:rPr>
          <w:rFonts w:eastAsia="Calibri"/>
          <w:color w:val="000000"/>
          <w:spacing w:val="-6"/>
        </w:rPr>
        <w:t>. № 434-ФЗ «О внесении изменений в Закон Российской Федерации «О частной детективн</w:t>
      </w:r>
      <w:r>
        <w:rPr>
          <w:rFonts w:eastAsia="Calibri"/>
          <w:color w:val="000000"/>
          <w:spacing w:val="-6"/>
        </w:rPr>
        <w:t>ой и охранной деятельности в Российской Федерации».</w:t>
      </w:r>
    </w:p>
    <w:p w:rsidR="00635471" w:rsidRDefault="005A761A">
      <w:pPr>
        <w:spacing w:line="228" w:lineRule="auto"/>
        <w:ind w:firstLine="709"/>
        <w:jc w:val="both"/>
      </w:pPr>
      <w:r>
        <w:rPr>
          <w:rFonts w:eastAsia="Calibri"/>
          <w:color w:val="000000"/>
          <w:spacing w:val="-6"/>
        </w:rPr>
        <w:t>Указанными федеральными законами полномочия по утверждению Порядка осуществления федерального государственного контроля (надзора)</w:t>
      </w:r>
      <w:r>
        <w:br/>
      </w:r>
      <w:r>
        <w:rPr>
          <w:rFonts w:eastAsia="Calibri"/>
          <w:color w:val="000000"/>
          <w:spacing w:val="-6"/>
        </w:rPr>
        <w:t xml:space="preserve">за </w:t>
      </w:r>
      <w:r>
        <w:rPr>
          <w:color w:val="000000"/>
        </w:rPr>
        <w:t xml:space="preserve">соблюдением </w:t>
      </w:r>
      <w:r>
        <w:rPr>
          <w:rFonts w:eastAsia="Calibri"/>
          <w:color w:val="000000"/>
          <w:spacing w:val="-6"/>
        </w:rPr>
        <w:t>законодательства Российской Федерации в области частной охр</w:t>
      </w:r>
      <w:r>
        <w:rPr>
          <w:rFonts w:eastAsia="Calibri"/>
          <w:color w:val="000000"/>
          <w:spacing w:val="-6"/>
        </w:rPr>
        <w:t xml:space="preserve">анной деятельности и в области частной детективной деятельности предоставлены Правительству Российской Федерации. </w:t>
      </w:r>
    </w:p>
    <w:p w:rsidR="00635471" w:rsidRDefault="005A761A">
      <w:pPr>
        <w:spacing w:line="228" w:lineRule="auto"/>
        <w:ind w:firstLine="709"/>
        <w:jc w:val="both"/>
      </w:pPr>
      <w:proofErr w:type="gramStart"/>
      <w:r>
        <w:rPr>
          <w:rFonts w:eastAsia="Calibri"/>
          <w:color w:val="000000"/>
          <w:spacing w:val="-6"/>
        </w:rPr>
        <w:t>Постановлениями Правительства Российской Федерации от 8 мая</w:t>
      </w:r>
      <w:r>
        <w:br/>
      </w:r>
      <w:r>
        <w:rPr>
          <w:rFonts w:eastAsia="Calibri"/>
          <w:color w:val="000000"/>
          <w:spacing w:val="-6"/>
        </w:rPr>
        <w:t xml:space="preserve">2026 г. № 532 </w:t>
      </w:r>
      <w:r>
        <w:rPr>
          <w:rFonts w:eastAsia="Calibri"/>
          <w:color w:val="000000"/>
          <w:spacing w:val="-4"/>
        </w:rPr>
        <w:t xml:space="preserve">«Об утверждении Правил осуществления федерального государственного </w:t>
      </w:r>
      <w:r>
        <w:rPr>
          <w:rFonts w:eastAsia="Calibri"/>
          <w:color w:val="000000"/>
          <w:spacing w:val="-4"/>
        </w:rPr>
        <w:t>контроля (надзора) за соблюдением законодательства Российской Федерации в области частной детективной деятельности»</w:t>
      </w:r>
      <w:r>
        <w:br/>
      </w:r>
      <w:r>
        <w:rPr>
          <w:rFonts w:eastAsia="Calibri"/>
          <w:color w:val="000000"/>
          <w:spacing w:val="-4"/>
        </w:rPr>
        <w:t>и от 9 июля 2026 г. № 866 «Об утверждении Правил осуществления федерального государственного контроля (надзора) за соблюдением законодательс</w:t>
      </w:r>
      <w:r>
        <w:rPr>
          <w:rFonts w:eastAsia="Calibri"/>
          <w:color w:val="000000"/>
          <w:spacing w:val="-4"/>
        </w:rPr>
        <w:t xml:space="preserve">тва Российской Федерации в области частной охранной деятельности» </w:t>
      </w:r>
      <w:r>
        <w:rPr>
          <w:rFonts w:eastAsia="Calibri"/>
          <w:color w:val="000000"/>
          <w:spacing w:val="-6"/>
        </w:rPr>
        <w:t xml:space="preserve">соответствующие правоотношения урегулированы. </w:t>
      </w:r>
      <w:proofErr w:type="gramEnd"/>
    </w:p>
    <w:p w:rsidR="00635471" w:rsidRDefault="005A761A">
      <w:pPr>
        <w:ind w:firstLine="709"/>
        <w:jc w:val="both"/>
        <w:rPr>
          <w:rFonts w:eastAsia="Calibri"/>
          <w:color w:val="000000"/>
          <w:spacing w:val="-6"/>
        </w:rPr>
      </w:pPr>
      <w:r>
        <w:rPr>
          <w:rFonts w:eastAsia="Calibri"/>
          <w:color w:val="000000"/>
          <w:spacing w:val="-6"/>
        </w:rPr>
        <w:t xml:space="preserve">В этой связи утвержденные приказами Росгвардии </w:t>
      </w:r>
      <w:r>
        <w:rPr>
          <w:color w:val="000000"/>
        </w:rPr>
        <w:t xml:space="preserve">административные регламенты по осуществлению соответствующих государственных функций утрачивают </w:t>
      </w:r>
      <w:r>
        <w:rPr>
          <w:color w:val="000000"/>
        </w:rPr>
        <w:t>свою актуальность.</w:t>
      </w:r>
    </w:p>
    <w:p w:rsidR="00635471" w:rsidRDefault="005A761A">
      <w:pPr>
        <w:ind w:right="-1" w:firstLine="709"/>
        <w:jc w:val="both"/>
      </w:pPr>
      <w:r>
        <w:rPr>
          <w:color w:val="000000"/>
        </w:rPr>
        <w:t>Предметом нормативного правового регулирования проекта приказа является признание утратившими силу приказов Росгвардии:</w:t>
      </w:r>
    </w:p>
    <w:p w:rsidR="00635471" w:rsidRDefault="005A761A">
      <w:pPr>
        <w:ind w:right="-1" w:firstLine="709"/>
        <w:jc w:val="both"/>
      </w:pPr>
      <w:r>
        <w:rPr>
          <w:color w:val="000000"/>
        </w:rPr>
        <w:t>от 30 ноября 2019 г. № 394 «Об утверждении Административного регламента Федеральной службы войск национальной гвардии</w:t>
      </w:r>
      <w:r>
        <w:rPr>
          <w:color w:val="000000"/>
        </w:rPr>
        <w:t xml:space="preserve"> Российской Федерации по осуществлению федерального государственного контроля (надзора) за соблюдением законодательства Российской Федерации</w:t>
      </w:r>
      <w:r>
        <w:rPr>
          <w:color w:val="000000"/>
        </w:rPr>
        <w:br/>
        <w:t>в области частной детективной деятельности» (</w:t>
      </w:r>
      <w:proofErr w:type="gramStart"/>
      <w:r>
        <w:rPr>
          <w:color w:val="000000"/>
        </w:rPr>
        <w:t>зарегистрирован</w:t>
      </w:r>
      <w:proofErr w:type="gramEnd"/>
      <w:r>
        <w:rPr>
          <w:color w:val="000000"/>
        </w:rPr>
        <w:t xml:space="preserve"> Минюстом России 29 января 2020 г., регистрационный № 5</w:t>
      </w:r>
      <w:r>
        <w:rPr>
          <w:color w:val="000000"/>
        </w:rPr>
        <w:t>7325);</w:t>
      </w:r>
    </w:p>
    <w:p w:rsidR="00635471" w:rsidRDefault="005A761A">
      <w:pPr>
        <w:ind w:right="-1" w:firstLine="709"/>
        <w:jc w:val="both"/>
      </w:pPr>
      <w:r>
        <w:rPr>
          <w:rFonts w:eastAsia="Calibri"/>
          <w:color w:val="000000"/>
          <w:spacing w:val="-6"/>
        </w:rPr>
        <w:t xml:space="preserve">от 30 ноября 2019 г. № 395 «Об утверждении Административного </w:t>
      </w:r>
      <w:proofErr w:type="gramStart"/>
      <w:r>
        <w:rPr>
          <w:rFonts w:eastAsia="Calibri"/>
          <w:color w:val="000000"/>
          <w:spacing w:val="-6"/>
        </w:rPr>
        <w:t>регламента Федеральной службы войск национальной гвардии Российской Федерации</w:t>
      </w:r>
      <w:proofErr w:type="gramEnd"/>
      <w:r>
        <w:rPr>
          <w:rFonts w:eastAsia="Calibri"/>
          <w:color w:val="000000"/>
          <w:spacing w:val="-6"/>
        </w:rPr>
        <w:t xml:space="preserve"> по осуществлению федерального государственного контроля (надзора) за соблюдением законодательства Российской Ф</w:t>
      </w:r>
      <w:r>
        <w:rPr>
          <w:rFonts w:eastAsia="Calibri"/>
          <w:color w:val="000000"/>
          <w:spacing w:val="-6"/>
        </w:rPr>
        <w:t>едерации в области частной охранной деятельности» (зарегистрирован Минюстом России</w:t>
      </w:r>
      <w:r>
        <w:rPr>
          <w:rFonts w:eastAsia="Calibri"/>
          <w:color w:val="000000"/>
          <w:spacing w:val="-6"/>
        </w:rPr>
        <w:br/>
        <w:t>29 января 2020 г., регистрационный № 57324).</w:t>
      </w:r>
    </w:p>
    <w:p w:rsidR="00635471" w:rsidRDefault="005A761A">
      <w:pPr>
        <w:ind w:right="-1" w:firstLine="709"/>
        <w:jc w:val="both"/>
      </w:pPr>
      <w:r>
        <w:rPr>
          <w:color w:val="000000"/>
        </w:rPr>
        <w:lastRenderedPageBreak/>
        <w:t>Реализация проекта приказа не потребует увеличения численности существующих или образования новых структурных подразделений</w:t>
      </w:r>
      <w:r>
        <w:rPr>
          <w:color w:val="000000"/>
        </w:rPr>
        <w:br/>
        <w:t>войс</w:t>
      </w:r>
      <w:r>
        <w:rPr>
          <w:color w:val="000000"/>
        </w:rPr>
        <w:t>к национальной гвардии Российской Федерации, а также выделения дополнительных средств федерального бюджета.</w:t>
      </w:r>
    </w:p>
    <w:p w:rsidR="00635471" w:rsidRDefault="005A761A">
      <w:pPr>
        <w:ind w:right="-1" w:firstLine="709"/>
        <w:jc w:val="both"/>
      </w:pPr>
      <w:r>
        <w:rPr>
          <w:color w:val="000000"/>
        </w:rPr>
        <w:t>Проект приказа соответствует положениям Договора о Евразийском экономическом союзе, а также положениям иных международных договоров Российской Федер</w:t>
      </w:r>
      <w:r>
        <w:rPr>
          <w:color w:val="000000"/>
        </w:rPr>
        <w:t>ации.</w:t>
      </w:r>
    </w:p>
    <w:p w:rsidR="00635471" w:rsidRDefault="005A761A">
      <w:pPr>
        <w:ind w:right="-1" w:firstLine="709"/>
        <w:jc w:val="both"/>
      </w:pPr>
      <w:r>
        <w:rPr>
          <w:color w:val="000000"/>
        </w:rPr>
        <w:t>Реализация решений, предлагаемых проектом приказа, не окажет влияния на достижение целей государственных программ Российской Федерации, а также на доходы и (или) расходы бюджетов бюджетной системы Российской Федерации.</w:t>
      </w:r>
    </w:p>
    <w:p w:rsidR="00635471" w:rsidRDefault="00635471">
      <w:pPr>
        <w:ind w:firstLine="709"/>
        <w:jc w:val="both"/>
        <w:rPr>
          <w:color w:val="FF0000"/>
        </w:rPr>
      </w:pPr>
    </w:p>
    <w:p w:rsidR="00635471" w:rsidRDefault="00635471">
      <w:pPr>
        <w:ind w:right="-1" w:firstLine="709"/>
        <w:jc w:val="both"/>
        <w:rPr>
          <w:color w:val="FF0000"/>
        </w:rPr>
      </w:pPr>
    </w:p>
    <w:p w:rsidR="00635471" w:rsidRDefault="00502943">
      <w:pPr>
        <w:jc w:val="both"/>
      </w:pPr>
      <w:r>
        <w:rPr>
          <w:color w:val="000000"/>
        </w:rPr>
        <w:t>Росгвардия</w:t>
      </w:r>
      <w:bookmarkStart w:id="0" w:name="_GoBack"/>
      <w:bookmarkEnd w:id="0"/>
    </w:p>
    <w:sectPr w:rsidR="00635471">
      <w:headerReference w:type="default" r:id="rId8"/>
      <w:headerReference w:type="first" r:id="rId9"/>
      <w:pgSz w:w="11906" w:h="16838"/>
      <w:pgMar w:top="1134" w:right="1134" w:bottom="1134" w:left="1701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61A" w:rsidRDefault="005A761A">
      <w:r>
        <w:separator/>
      </w:r>
    </w:p>
  </w:endnote>
  <w:endnote w:type="continuationSeparator" w:id="0">
    <w:p w:rsidR="005A761A" w:rsidRDefault="005A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PT Astra Serif"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61A" w:rsidRDefault="005A761A">
      <w:r>
        <w:separator/>
      </w:r>
    </w:p>
  </w:footnote>
  <w:footnote w:type="continuationSeparator" w:id="0">
    <w:p w:rsidR="005A761A" w:rsidRDefault="005A7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471" w:rsidRDefault="005A761A">
    <w:pPr>
      <w:pStyle w:val="a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5244726E" wp14:editId="26E6BF34">
              <wp:simplePos x="0" y="0"/>
              <wp:positionH relativeFrom="margin">
                <wp:posOffset>2828925</wp:posOffset>
              </wp:positionH>
              <wp:positionV relativeFrom="paragraph">
                <wp:posOffset>1270</wp:posOffset>
              </wp:positionV>
              <wp:extent cx="77470" cy="17589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35471" w:rsidRDefault="005A761A">
                          <w:pPr>
                            <w:pStyle w:val="af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0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color w:val="000000"/>
                              <w:sz w:val="24"/>
                              <w:szCs w:val="24"/>
                            </w:rPr>
                            <w:instrText>PAGE</w:instrText>
                          </w:r>
                          <w:r>
                            <w:rPr>
                              <w:rStyle w:val="10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943">
                            <w:rPr>
                              <w:rStyle w:val="10"/>
                              <w:noProof/>
                              <w:color w:val="000000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10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1440" tIns="1440" rIns="1440" bIns="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margin-left:222.75pt;margin-top:.1pt;width:6.1pt;height:13.85pt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" filled="f" stroked="f">
              <v:textbox inset=".04mm,.04mm,.04mm,.04mm">
                <w:txbxContent>
                  <w:p w:rsidR="00635471" w:rsidRDefault="005A761A">
                    <w:pPr>
                      <w:pStyle w:val="af3"/>
                      <w:rPr>
                        <w:sz w:val="24"/>
                        <w:szCs w:val="24"/>
                      </w:rPr>
                    </w:pPr>
                    <w:r>
                      <w:rPr>
                        <w:rStyle w:val="10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0"/>
                        <w:color w:val="000000"/>
                        <w:sz w:val="24"/>
                        <w:szCs w:val="24"/>
                      </w:rPr>
                      <w:instrText>PAGE</w:instrText>
                    </w:r>
                    <w:r>
                      <w:rPr>
                        <w:rStyle w:val="10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502943">
                      <w:rPr>
                        <w:rStyle w:val="10"/>
                        <w:noProof/>
                        <w:color w:val="000000"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10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471" w:rsidRDefault="00635471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471"/>
    <w:rsid w:val="00502943"/>
    <w:rsid w:val="005A761A"/>
    <w:rsid w:val="0063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10">
    <w:name w:val="Номер страницы1"/>
    <w:basedOn w:val="1"/>
    <w:qFormat/>
  </w:style>
  <w:style w:type="character" w:customStyle="1" w:styleId="a3">
    <w:name w:val="Символ сноски"/>
    <w:unhideWhenUsed/>
    <w:qFormat/>
    <w:rsid w:val="006A08E2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4">
    <w:name w:val="Текст сноски Знак"/>
    <w:basedOn w:val="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ConsPlusNormal">
    <w:name w:val="ConsPlusNormal Знак"/>
    <w:qFormat/>
    <w:rPr>
      <w:rFonts w:ascii="Arial" w:hAnsi="Arial" w:cs="Arial"/>
      <w:lang w:val="ru-RU" w:eastAsia="ru-RU" w:bidi="ar-SA"/>
    </w:rPr>
  </w:style>
  <w:style w:type="character" w:customStyle="1" w:styleId="WW-">
    <w:name w:val="WW-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465A81"/>
    <w:rPr>
      <w:rFonts w:ascii="Tahoma" w:hAnsi="Tahoma" w:cs="Tahoma"/>
      <w:sz w:val="16"/>
      <w:szCs w:val="16"/>
    </w:rPr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endnotereference11">
    <w:name w:val="endnote reference11"/>
    <w:qFormat/>
    <w:rPr>
      <w:vertAlign w:val="superscript"/>
    </w:rPr>
  </w:style>
  <w:style w:type="character" w:customStyle="1" w:styleId="footnotereference11">
    <w:name w:val="footnote reference11"/>
    <w:qFormat/>
    <w:rPr>
      <w:vertAlign w:val="superscript"/>
    </w:rPr>
  </w:style>
  <w:style w:type="character" w:styleId="a8">
    <w:name w:val="endnote reference"/>
    <w:qFormat/>
    <w:rPr>
      <w:vertAlign w:val="superscript"/>
    </w:rPr>
  </w:style>
  <w:style w:type="character" w:styleId="a9">
    <w:name w:val="footnote reference"/>
    <w:qFormat/>
    <w:rPr>
      <w:vertAlign w:val="superscript"/>
    </w:rPr>
  </w:style>
  <w:style w:type="character" w:customStyle="1" w:styleId="endnotereference10">
    <w:name w:val="endnote reference10"/>
    <w:qFormat/>
    <w:rPr>
      <w:vertAlign w:val="superscript"/>
    </w:rPr>
  </w:style>
  <w:style w:type="character" w:customStyle="1" w:styleId="footnotereference10">
    <w:name w:val="footnote reference10"/>
    <w:qFormat/>
    <w:rPr>
      <w:vertAlign w:val="superscript"/>
    </w:rPr>
  </w:style>
  <w:style w:type="character" w:customStyle="1" w:styleId="endnotereference9">
    <w:name w:val="endnote reference9"/>
    <w:qFormat/>
    <w:rPr>
      <w:vertAlign w:val="superscript"/>
    </w:rPr>
  </w:style>
  <w:style w:type="character" w:customStyle="1" w:styleId="footnotereference9">
    <w:name w:val="footnote reference9"/>
    <w:qFormat/>
    <w:rPr>
      <w:vertAlign w:val="superscript"/>
    </w:rPr>
  </w:style>
  <w:style w:type="character" w:customStyle="1" w:styleId="endnotereference8">
    <w:name w:val="endnote reference8"/>
    <w:qFormat/>
    <w:rPr>
      <w:vertAlign w:val="superscript"/>
    </w:rPr>
  </w:style>
  <w:style w:type="character" w:customStyle="1" w:styleId="footnotereference8">
    <w:name w:val="footnote reference8"/>
    <w:qFormat/>
    <w:rPr>
      <w:vertAlign w:val="superscript"/>
    </w:rPr>
  </w:style>
  <w:style w:type="character" w:customStyle="1" w:styleId="endnotereference7">
    <w:name w:val="endnote reference7"/>
    <w:qFormat/>
    <w:rPr>
      <w:vertAlign w:val="superscript"/>
    </w:rPr>
  </w:style>
  <w:style w:type="character" w:customStyle="1" w:styleId="footnotereference7">
    <w:name w:val="footnote reference7"/>
    <w:qFormat/>
    <w:rPr>
      <w:vertAlign w:val="superscript"/>
    </w:rPr>
  </w:style>
  <w:style w:type="character" w:customStyle="1" w:styleId="11">
    <w:name w:val="Знак концевой сноски1"/>
    <w:qFormat/>
    <w:rPr>
      <w:vertAlign w:val="superscript"/>
    </w:rPr>
  </w:style>
  <w:style w:type="character" w:customStyle="1" w:styleId="3">
    <w:name w:val="Знак сноски3"/>
    <w:qFormat/>
    <w:rPr>
      <w:vertAlign w:val="superscript"/>
    </w:rPr>
  </w:style>
  <w:style w:type="character" w:customStyle="1" w:styleId="endnotereference6">
    <w:name w:val="endnote reference6"/>
    <w:qFormat/>
    <w:rPr>
      <w:vertAlign w:val="superscript"/>
    </w:rPr>
  </w:style>
  <w:style w:type="character" w:customStyle="1" w:styleId="footnotereference6">
    <w:name w:val="footnote reference6"/>
    <w:qFormat/>
    <w:rPr>
      <w:vertAlign w:val="superscript"/>
    </w:rPr>
  </w:style>
  <w:style w:type="character" w:customStyle="1" w:styleId="endnotereference5">
    <w:name w:val="endnote reference5"/>
    <w:qFormat/>
    <w:rPr>
      <w:vertAlign w:val="superscript"/>
    </w:rPr>
  </w:style>
  <w:style w:type="character" w:customStyle="1" w:styleId="footnotereference5">
    <w:name w:val="footnote reference5"/>
    <w:qFormat/>
    <w:rPr>
      <w:vertAlign w:val="superscript"/>
    </w:rPr>
  </w:style>
  <w:style w:type="character" w:customStyle="1" w:styleId="endnotereference4">
    <w:name w:val="endnote reference4"/>
    <w:qFormat/>
    <w:rPr>
      <w:vertAlign w:val="superscript"/>
    </w:rPr>
  </w:style>
  <w:style w:type="character" w:customStyle="1" w:styleId="footnotereference4">
    <w:name w:val="footnote reference4"/>
    <w:qFormat/>
    <w:rPr>
      <w:vertAlign w:val="superscript"/>
    </w:rPr>
  </w:style>
  <w:style w:type="character" w:customStyle="1" w:styleId="endnotereference3">
    <w:name w:val="endnote reference3"/>
    <w:qFormat/>
    <w:rPr>
      <w:vertAlign w:val="superscript"/>
    </w:rPr>
  </w:style>
  <w:style w:type="character" w:customStyle="1" w:styleId="footnotereference3">
    <w:name w:val="footnote reference3"/>
    <w:qFormat/>
    <w:rPr>
      <w:vertAlign w:val="superscript"/>
    </w:rPr>
  </w:style>
  <w:style w:type="character" w:customStyle="1" w:styleId="endnotereference2">
    <w:name w:val="endnote reference2"/>
    <w:qFormat/>
    <w:rPr>
      <w:vertAlign w:val="superscript"/>
    </w:rPr>
  </w:style>
  <w:style w:type="character" w:customStyle="1" w:styleId="footnotereference2">
    <w:name w:val="footnote reference2"/>
    <w:qFormat/>
    <w:rPr>
      <w:vertAlign w:val="superscript"/>
    </w:rPr>
  </w:style>
  <w:style w:type="character" w:customStyle="1" w:styleId="endnotereference1">
    <w:name w:val="endnote reference1"/>
    <w:qFormat/>
    <w:rPr>
      <w:vertAlign w:val="superscript"/>
    </w:rPr>
  </w:style>
  <w:style w:type="character" w:customStyle="1" w:styleId="footnotereference12">
    <w:name w:val="footnote reference12"/>
    <w:qFormat/>
    <w:rPr>
      <w:vertAlign w:val="superscript"/>
    </w:rPr>
  </w:style>
  <w:style w:type="character" w:customStyle="1" w:styleId="2">
    <w:name w:val="Знак сноски2"/>
    <w:qFormat/>
    <w:rPr>
      <w:vertAlign w:val="superscript"/>
    </w:rPr>
  </w:style>
  <w:style w:type="character" w:customStyle="1" w:styleId="WW-0">
    <w:name w:val="WW-Символ концевой сноски"/>
    <w:qFormat/>
  </w:style>
  <w:style w:type="character" w:customStyle="1" w:styleId="12">
    <w:name w:val="Знак сноски1"/>
    <w:qFormat/>
    <w:rPr>
      <w:vertAlign w:val="superscript"/>
    </w:rPr>
  </w:style>
  <w:style w:type="character" w:customStyle="1" w:styleId="aa">
    <w:name w:val="Основной текст с отступом Знак"/>
    <w:qFormat/>
    <w:rPr>
      <w:sz w:val="28"/>
      <w:szCs w:val="28"/>
    </w:rPr>
  </w:style>
  <w:style w:type="character" w:customStyle="1" w:styleId="ab">
    <w:name w:val="Нижний колонтитул Знак"/>
    <w:qFormat/>
    <w:rPr>
      <w:sz w:val="24"/>
      <w:szCs w:val="24"/>
    </w:rPr>
  </w:style>
  <w:style w:type="character" w:customStyle="1" w:styleId="ac">
    <w:name w:val="Верхний колонтитул Знак"/>
    <w:qFormat/>
    <w:rPr>
      <w:sz w:val="24"/>
      <w:szCs w:val="24"/>
    </w:rPr>
  </w:style>
  <w:style w:type="character" w:customStyle="1" w:styleId="20">
    <w:name w:val="Основной шрифт абзаца2"/>
    <w:qFormat/>
  </w:style>
  <w:style w:type="character" w:customStyle="1" w:styleId="30">
    <w:name w:val="Основной шрифт абзаца3"/>
    <w:qFormat/>
  </w:style>
  <w:style w:type="character" w:customStyle="1" w:styleId="4">
    <w:name w:val="Основной шрифт абзаца4"/>
    <w:qFormat/>
  </w:style>
  <w:style w:type="character" w:customStyle="1" w:styleId="13">
    <w:name w:val="Гиперссылка1"/>
    <w:qFormat/>
    <w:rPr>
      <w:color w:val="000080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Sans" w:eastAsia="Tahoma" w:hAnsi="PT Sans" w:cs="Noto Sans Devanagari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Sans" w:hAnsi="PT Sans" w:cs="Noto Sans Devanagari"/>
      <w:sz w:val="24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4">
    <w:name w:val="Указатель1"/>
    <w:basedOn w:val="a"/>
    <w:qFormat/>
    <w:pPr>
      <w:suppressLineNumbers/>
    </w:pPr>
    <w:rPr>
      <w:rFonts w:ascii="PT Sans" w:hAnsi="PT Sans" w:cs="Noto Sans Devanagari"/>
      <w:sz w:val="24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af4">
    <w:name w:val="Знак Знак Знак 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  <w:rPr>
      <w:sz w:val="24"/>
      <w:szCs w:val="24"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15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qFormat/>
    <w:pPr>
      <w:widowControl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17">
    <w:name w:val="Рецензия1"/>
    <w:qFormat/>
    <w:rPr>
      <w:sz w:val="28"/>
      <w:szCs w:val="28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sz w:val="20"/>
      <w:szCs w:val="20"/>
    </w:rPr>
  </w:style>
  <w:style w:type="paragraph" w:customStyle="1" w:styleId="af7">
    <w:name w:val="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8">
    <w:name w:val="Содержимое врезки"/>
    <w:basedOn w:val="a"/>
    <w:qFormat/>
  </w:style>
  <w:style w:type="paragraph" w:styleId="a7">
    <w:name w:val="Balloon Text"/>
    <w:basedOn w:val="a"/>
    <w:link w:val="a6"/>
    <w:uiPriority w:val="99"/>
    <w:semiHidden/>
    <w:unhideWhenUsed/>
    <w:qFormat/>
    <w:rsid w:val="00465A81"/>
    <w:rPr>
      <w:rFonts w:ascii="Tahoma" w:hAnsi="Tahoma" w:cs="Tahoma"/>
      <w:sz w:val="16"/>
      <w:szCs w:val="16"/>
    </w:rPr>
  </w:style>
  <w:style w:type="paragraph" w:styleId="af9">
    <w:name w:val="No Spacing"/>
    <w:qFormat/>
    <w:pPr>
      <w:overflowPunct w:val="0"/>
    </w:pPr>
    <w:rPr>
      <w:rFonts w:ascii="Calibri" w:hAnsi="Calibri" w:cs="Calibri"/>
      <w:sz w:val="22"/>
      <w:szCs w:val="22"/>
      <w:lang w:eastAsia="zh-CN"/>
    </w:rPr>
  </w:style>
  <w:style w:type="paragraph" w:customStyle="1" w:styleId="BodyTextIndent2">
    <w:name w:val="Body Text Indent2"/>
    <w:basedOn w:val="a"/>
    <w:qFormat/>
    <w:pPr>
      <w:ind w:firstLine="709"/>
      <w:jc w:val="both"/>
    </w:pPr>
  </w:style>
  <w:style w:type="paragraph" w:customStyle="1" w:styleId="afa">
    <w:name w:val="Колонтитул"/>
    <w:basedOn w:val="a"/>
    <w:qFormat/>
    <w:pPr>
      <w:tabs>
        <w:tab w:val="center" w:pos="4535"/>
        <w:tab w:val="right" w:pos="9071"/>
      </w:tabs>
    </w:pPr>
  </w:style>
  <w:style w:type="paragraph" w:styleId="afb">
    <w:name w:val="List Paragraph"/>
    <w:basedOn w:val="a"/>
    <w:qFormat/>
    <w:pPr>
      <w:spacing w:after="160" w:line="252" w:lineRule="exact"/>
      <w:ind w:left="720"/>
      <w:contextualSpacing/>
    </w:pPr>
  </w:style>
  <w:style w:type="paragraph" w:customStyle="1" w:styleId="BodyTextIndent1">
    <w:name w:val="Body Text Indent1"/>
    <w:basedOn w:val="a"/>
    <w:qFormat/>
    <w:pPr>
      <w:ind w:firstLine="709"/>
      <w:jc w:val="both"/>
    </w:pPr>
  </w:style>
  <w:style w:type="paragraph" w:styleId="afc">
    <w:name w:val="Normal (Web)"/>
    <w:basedOn w:val="a"/>
    <w:qFormat/>
    <w:pPr>
      <w:suppressAutoHyphens w:val="0"/>
      <w:spacing w:before="280" w:after="280" w:line="240" w:lineRule="exact"/>
    </w:pPr>
    <w:rPr>
      <w:lang w:eastAsia="ar-SA"/>
    </w:rPr>
  </w:style>
  <w:style w:type="paragraph" w:customStyle="1" w:styleId="Textbody">
    <w:name w:val="Text body"/>
    <w:qFormat/>
    <w:pPr>
      <w:spacing w:after="140"/>
      <w:textAlignment w:val="baseline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hAnsi="Calibri" w:cs="Liberation Serif"/>
      <w:kern w:val="2"/>
      <w:sz w:val="22"/>
      <w:szCs w:val="22"/>
      <w:lang w:eastAsia="ar-SA"/>
    </w:rPr>
  </w:style>
  <w:style w:type="paragraph" w:customStyle="1" w:styleId="caption1">
    <w:name w:val="caption1"/>
    <w:basedOn w:val="a"/>
    <w:qFormat/>
    <w:pPr>
      <w:spacing w:before="120" w:after="120"/>
    </w:pPr>
    <w:rPr>
      <w:i/>
      <w:iCs/>
      <w:lang w:eastAsia="ar-SA"/>
    </w:rPr>
  </w:style>
  <w:style w:type="numbering" w:customStyle="1" w:styleId="afd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8C9A8-D90B-4CEF-A3AF-A0671E5F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493</Words>
  <Characters>2811</Characters>
  <Application>Microsoft Office Word</Application>
  <DocSecurity>0</DocSecurity>
  <Lines>23</Lines>
  <Paragraphs>6</Paragraphs>
  <ScaleCrop>false</ScaleCrop>
  <Company>Microsoft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ПОЯНИТЕЛЬНАЯ ЗАПИСКА</dc:title>
  <dc:subject/>
  <dc:creator>Блинов Геннадий Васильевич</dc:creator>
  <dc:description/>
  <cp:lastModifiedBy>Теряев Андрей Владимирович</cp:lastModifiedBy>
  <cp:revision>12</cp:revision>
  <dcterms:created xsi:type="dcterms:W3CDTF">2026-08-17T11:06:00Z</dcterms:created>
  <dcterms:modified xsi:type="dcterms:W3CDTF">2026-08-17T11:07:00Z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