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</w:r>
    </w:p>
    <w:p>
      <w:pPr>
        <w:pStyle w:val="Normal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</w:r>
    </w:p>
    <w:p>
      <w:pPr>
        <w:pStyle w:val="Normal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</w:r>
    </w:p>
    <w:p>
      <w:pPr>
        <w:pStyle w:val="Normal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</w:r>
    </w:p>
    <w:p>
      <w:pPr>
        <w:pStyle w:val="Normal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</w:r>
    </w:p>
    <w:p>
      <w:pPr>
        <w:pStyle w:val="Normal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</w:r>
    </w:p>
    <w:p>
      <w:pPr>
        <w:pStyle w:val="Normal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</w:r>
    </w:p>
    <w:p>
      <w:pPr>
        <w:pStyle w:val="Normal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</w:r>
    </w:p>
    <w:p>
      <w:pPr>
        <w:pStyle w:val="Normal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</w:r>
    </w:p>
    <w:p>
      <w:pPr>
        <w:pStyle w:val="Normal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</w:r>
    </w:p>
    <w:p>
      <w:pPr>
        <w:pStyle w:val="Normal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</w:r>
    </w:p>
    <w:p>
      <w:pPr>
        <w:pStyle w:val="Normal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</w:r>
    </w:p>
    <w:p>
      <w:pPr>
        <w:pStyle w:val="Normal"/>
        <w:jc w:val="both"/>
        <w:rPr>
          <w:rFonts w:eastAsia="Times New Roman" w:cs="Times New Roman"/>
          <w:szCs w:val="28"/>
          <w:lang w:val="en-US"/>
        </w:rPr>
      </w:pPr>
      <w:r>
        <w:rPr>
          <w:rFonts w:eastAsia="Times New Roman" w:cs="Times New Roman"/>
          <w:szCs w:val="28"/>
          <w:lang w:val="en-US"/>
        </w:rPr>
      </w:r>
    </w:p>
    <w:p>
      <w:pPr>
        <w:pStyle w:val="Normal"/>
        <w:jc w:val="both"/>
        <w:rPr>
          <w:rFonts w:eastAsia="Times New Roman" w:cs="Times New Roman"/>
          <w:sz w:val="14"/>
          <w:szCs w:val="28"/>
        </w:rPr>
      </w:pPr>
      <w:r>
        <w:rPr>
          <w:rFonts w:eastAsia="Times New Roman" w:cs="Times New Roman"/>
          <w:sz w:val="14"/>
          <w:szCs w:val="28"/>
        </w:rPr>
      </w:r>
    </w:p>
    <w:p>
      <w:pPr>
        <w:pStyle w:val="NormalWeb"/>
        <w:spacing w:lineRule="atLeast" w:line="288"/>
        <w:ind w:right="5102" w:hanging="0"/>
        <w:jc w:val="both"/>
        <w:rPr>
          <w:rFonts w:eastAsia="Times New Roman"/>
          <w:lang w:eastAsia="ru-RU"/>
        </w:rPr>
      </w:pPr>
      <w:r>
        <w:rPr>
          <w:rFonts w:eastAsia="Times New Roman"/>
          <w:bCs/>
        </w:rPr>
        <w:t xml:space="preserve">О признании утратившими силу приказов Федеральной службы войск национальной гвардии Российской Федерации от 30 ноября 2019 г. № 394 и от 30 ноября 2019 г. № 395 </w:t>
      </w:r>
    </w:p>
    <w:p>
      <w:pPr>
        <w:pStyle w:val="Normal"/>
        <w:ind w:right="4960" w:firstLine="54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</w:r>
    </w:p>
    <w:p>
      <w:pPr>
        <w:pStyle w:val="Normal"/>
        <w:ind w:right="4960" w:firstLine="54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</w:r>
    </w:p>
    <w:p>
      <w:pPr>
        <w:pStyle w:val="Normal"/>
        <w:spacing w:lineRule="auto" w:line="276"/>
        <w:jc w:val="both"/>
        <w:rPr>
          <w:spacing w:val="-4"/>
        </w:rPr>
      </w:pPr>
      <w:r>
        <w:rPr>
          <w:rFonts w:eastAsia="Times New Roman" w:cs="Times New Roman"/>
          <w:bCs/>
          <w:color w:val="000000"/>
          <w:spacing w:val="-4"/>
          <w:szCs w:val="28"/>
          <w:lang w:eastAsia="ru-RU"/>
        </w:rPr>
        <w:t xml:space="preserve">В соответствии с </w:t>
      </w:r>
      <w:r>
        <w:rPr>
          <w:rFonts w:eastAsia="Times New Roman" w:cs="Times New Roman"/>
          <w:bCs/>
          <w:spacing w:val="-4"/>
          <w:szCs w:val="28"/>
          <w:lang w:eastAsia="ru-RU"/>
        </w:rPr>
        <w:t>подпунктом 3 пункт</w:t>
      </w:r>
      <w:r>
        <w:rPr>
          <w:rFonts w:eastAsia="Times New Roman" w:cs="Times New Roman"/>
          <w:bCs/>
          <w:color w:val="000000"/>
          <w:spacing w:val="-4"/>
          <w:szCs w:val="28"/>
          <w:lang w:eastAsia="ru-RU"/>
        </w:rPr>
        <w:t>а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9, подпунктом 4 пункта 14 Положения о Федеральной службе войск национальной гвардии Российской Федерации, утвержденного Указом Президента Российской Федерации</w:t>
        <w:br/>
        <w:t>от 30 сентября 2016 г. № 510, а также в целях приведения нормативной правовой базы Федеральной службы войск национальной гвардии Российской Федерации в соответствие с законодательством Российской Федерации, –</w:t>
      </w:r>
    </w:p>
    <w:p>
      <w:pPr>
        <w:pStyle w:val="Normal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</w:r>
    </w:p>
    <w:p>
      <w:pPr>
        <w:pStyle w:val="Normal"/>
        <w:tabs>
          <w:tab w:val="clear" w:pos="709"/>
          <w:tab w:val="left" w:pos="450" w:leader="none"/>
        </w:tabs>
        <w:ind w:hanging="0"/>
        <w:jc w:val="center"/>
        <w:rPr/>
      </w:pPr>
      <w:r>
        <w:rPr>
          <w:rFonts w:eastAsia="Times New Roman" w:cs="Times New Roman"/>
          <w:bCs/>
          <w:szCs w:val="28"/>
          <w:lang w:eastAsia="ru-RU"/>
        </w:rPr>
        <w:t>П  Р  И  К  А  З  Ы  В  А  Ю:</w:t>
      </w:r>
    </w:p>
    <w:p>
      <w:pPr>
        <w:pStyle w:val="Normal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  <w:t>Признать утратившими силу:</w:t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  <w:t>приказ Федеральной службы войск национальной гвардии Российской Федерации от 30 ноября 2019 г. № 394 «Об утверждении Административного регламента Федеральной службы войск национальной гвардии Российской Федерации по осуществлению федерального государственного контроля (надзора) за соблюдением законодательства Российской Федерации в области частной детективной деятельности» (зарегистрирован Минюстом России 29 января 2020 г., регистрационный № 57325);</w:t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  <w:t>приказ Федеральной службы войск национальной гвардии Российской Федерации от 30 ноября 2019 г. № 395 «Об утверждении Административного регламента Федеральной службы войск национальной гвардии Российской Федерации по осуществлению федерального государственного контроля (надзора) за соблюдением законодательства Российской Федерации в области частной охранной деятельности» (зарегистрирован Минюстом России 29 января 2020 г., регистрационный № 57324).</w:t>
      </w:r>
    </w:p>
    <w:p>
      <w:pPr>
        <w:pStyle w:val="Normal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</w:r>
    </w:p>
    <w:p>
      <w:pPr>
        <w:pStyle w:val="Normal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</w:r>
    </w:p>
    <w:p>
      <w:pPr>
        <w:pStyle w:val="Normal"/>
        <w:ind w:hanging="0"/>
        <w:jc w:val="both"/>
        <w:rPr/>
      </w:pPr>
      <w:r>
        <w:rPr>
          <w:rFonts w:eastAsia="Times New Roman" w:cs="Times New Roman"/>
          <w:szCs w:val="28"/>
        </w:rPr>
        <w:t xml:space="preserve">Директор Федеральной службы </w:t>
      </w:r>
    </w:p>
    <w:p>
      <w:pPr>
        <w:pStyle w:val="Normal"/>
        <w:ind w:hanging="0"/>
        <w:jc w:val="both"/>
        <w:rPr/>
      </w:pPr>
      <w:r>
        <w:rPr>
          <w:rFonts w:eastAsia="Times New Roman" w:cs="Times New Roman"/>
          <w:szCs w:val="28"/>
        </w:rPr>
        <w:t>войск национальной гвардии Российской Федерации –</w:t>
      </w:r>
    </w:p>
    <w:p>
      <w:pPr>
        <w:pStyle w:val="Normal"/>
        <w:ind w:hanging="0"/>
        <w:jc w:val="both"/>
        <w:rPr/>
      </w:pPr>
      <w:r>
        <w:rPr>
          <w:rFonts w:eastAsia="Times New Roman" w:cs="Times New Roman"/>
          <w:szCs w:val="28"/>
        </w:rPr>
        <w:t>главнокомандующий войсками национальной гвардии</w:t>
      </w:r>
    </w:p>
    <w:p>
      <w:pPr>
        <w:pStyle w:val="Normal"/>
        <w:ind w:hanging="0"/>
        <w:jc w:val="both"/>
        <w:rPr/>
      </w:pPr>
      <w:r>
        <w:rPr>
          <w:rFonts w:eastAsia="Times New Roman" w:cs="Times New Roman"/>
          <w:szCs w:val="28"/>
        </w:rPr>
        <w:t>Российской Федерации</w:t>
      </w:r>
    </w:p>
    <w:p>
      <w:pPr>
        <w:pStyle w:val="Normal"/>
        <w:ind w:hanging="0"/>
        <w:jc w:val="both"/>
        <w:rPr/>
      </w:pPr>
      <w:r>
        <w:rPr>
          <w:rFonts w:eastAsia="Times New Roman" w:cs="Times New Roman"/>
          <w:szCs w:val="28"/>
        </w:rPr>
        <w:t>генерал армии</w:t>
        <w:tab/>
        <w:t xml:space="preserve">                                                                             В.В. Золотов</w:t>
      </w:r>
    </w:p>
    <w:sectPr>
      <w:headerReference w:type="default" r:id="rId2"/>
      <w:headerReference w:type="first" r:id="rId3"/>
      <w:type w:val="nextPage"/>
      <w:pgSz w:w="11906" w:h="16838"/>
      <w:pgMar w:left="1701" w:right="1134" w:header="567" w:top="113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Courier New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0"/>
      <w:tabs>
        <w:tab w:val="clear" w:pos="709"/>
        <w:tab w:val="left" w:pos="231" w:leader="none"/>
        <w:tab w:val="center" w:pos="4537" w:leader="none"/>
        <w:tab w:val="right" w:pos="9075" w:leader="none"/>
      </w:tabs>
      <w:ind w:hanging="0"/>
      <w:jc w:val="center"/>
      <w:rPr/>
    </w:pPr>
    <w:r>
      <w:rPr>
        <w:sz w:val="24"/>
        <w:szCs w:val="24"/>
      </w:rPr>
      <w:fldChar w:fldCharType="begin"/>
    </w:r>
    <w:r>
      <w:rPr>
        <w:sz w:val="24"/>
        <w:szCs w:val="24"/>
      </w:rPr>
      <w:instrText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1"/>
      <w:ind w:hanging="0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embedSystemFonts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semiHidden="0" w:unhideWhenUsed="0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0"/>
      <w:ind w:firstLine="709"/>
      <w:jc w:val="left"/>
    </w:pPr>
    <w:rPr>
      <w:rFonts w:ascii="Times New Roman" w:hAnsi="Times New Roman" w:eastAsia="Calibri" w:cs="Tahoma"/>
      <w:color w:val="auto"/>
      <w:kern w:val="0"/>
      <w:sz w:val="2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сновной шрифт абзаца1"/>
    <w:qFormat/>
    <w:rPr/>
  </w:style>
  <w:style w:type="character" w:styleId="Style14" w:customStyle="1">
    <w:name w:val="Символ сноски"/>
    <w:qFormat/>
    <w:rPr>
      <w:vertAlign w:val="superscript"/>
    </w:rPr>
  </w:style>
  <w:style w:type="character" w:styleId="Style15">
    <w:name w:val="Привязка сноски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tyle16">
    <w:name w:val="Интернет-ссылка"/>
    <w:rPr>
      <w:color w:val="000080"/>
      <w:u w:val="single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Style18">
    <w:name w:val="Привязка концевой сноски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Style19" w:customStyle="1">
    <w:name w:val="Текст выноски Знак"/>
    <w:link w:val="BalloonText"/>
    <w:uiPriority w:val="99"/>
    <w:semiHidden/>
    <w:qFormat/>
    <w:rsid w:val="001f73b1"/>
    <w:rPr>
      <w:rFonts w:ascii="Tahoma" w:hAnsi="Tahoma" w:eastAsia="Calibri" w:cs="Tahoma"/>
      <w:sz w:val="16"/>
      <w:szCs w:val="16"/>
      <w:lang w:eastAsia="en-US"/>
    </w:rPr>
  </w:style>
  <w:style w:type="character" w:styleId="Style20" w:customStyle="1">
    <w:name w:val="Текст сноски Знак"/>
    <w:qFormat/>
    <w:rsid w:val="00ae256a"/>
    <w:rPr>
      <w:rFonts w:eastAsia="Calibri" w:cs="Tahoma"/>
      <w:vertAlign w:val="superscript"/>
      <w:lang w:eastAsia="en-US"/>
    </w:rPr>
  </w:style>
  <w:style w:type="character" w:styleId="Annotationreference">
    <w:name w:val="annotation reference"/>
    <w:uiPriority w:val="99"/>
    <w:semiHidden/>
    <w:unhideWhenUsed/>
    <w:qFormat/>
    <w:rsid w:val="0085601b"/>
    <w:rPr>
      <w:sz w:val="16"/>
      <w:szCs w:val="16"/>
    </w:rPr>
  </w:style>
  <w:style w:type="character" w:styleId="Style21" w:customStyle="1">
    <w:name w:val="Текст примечания Знак"/>
    <w:uiPriority w:val="99"/>
    <w:semiHidden/>
    <w:qFormat/>
    <w:rsid w:val="0085601b"/>
    <w:rPr>
      <w:rFonts w:eastAsia="Calibri" w:cs="Tahoma"/>
      <w:lang w:eastAsia="en-US"/>
    </w:rPr>
  </w:style>
  <w:style w:type="character" w:styleId="Style22" w:customStyle="1">
    <w:name w:val="Тема примечания Знак"/>
    <w:link w:val="annotationsubject"/>
    <w:uiPriority w:val="99"/>
    <w:semiHidden/>
    <w:qFormat/>
    <w:rsid w:val="0085601b"/>
    <w:rPr>
      <w:rFonts w:eastAsia="Calibri" w:cs="Tahoma"/>
      <w:b/>
      <w:bCs/>
      <w:lang w:eastAsia="en-US"/>
    </w:rPr>
  </w:style>
  <w:style w:type="character" w:styleId="Style23" w:customStyle="1">
    <w:name w:val="Нижний колонтитул Знак"/>
    <w:uiPriority w:val="99"/>
    <w:qFormat/>
    <w:rsid w:val="00d84daa"/>
    <w:rPr>
      <w:rFonts w:eastAsia="Calibri" w:cs="Tahoma"/>
      <w:sz w:val="28"/>
      <w:szCs w:val="22"/>
      <w:lang w:eastAsia="en-US"/>
    </w:rPr>
  </w:style>
  <w:style w:type="paragraph" w:styleId="Style24" w:customStyle="1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Tahoma" w:cs="Noto Sans Devanagari"/>
      <w:szCs w:val="28"/>
    </w:rPr>
  </w:style>
  <w:style w:type="paragraph" w:styleId="Style25">
    <w:name w:val="Body Text"/>
    <w:basedOn w:val="Normal"/>
    <w:pPr>
      <w:spacing w:before="0" w:after="140"/>
    </w:pPr>
    <w:rPr/>
  </w:style>
  <w:style w:type="paragraph" w:styleId="Style26">
    <w:name w:val="List"/>
    <w:basedOn w:val="Style25"/>
    <w:pPr/>
    <w:rPr>
      <w:rFonts w:cs="Noto Sans Devanagari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11" w:customStyle="1">
    <w:name w:val="Указатель1"/>
    <w:basedOn w:val="Normal"/>
    <w:qFormat/>
    <w:pPr>
      <w:suppressLineNumbers/>
    </w:pPr>
    <w:rPr>
      <w:rFonts w:cs="Noto Sans Devanagari"/>
    </w:rPr>
  </w:style>
  <w:style w:type="paragraph" w:styleId="12" w:customStyle="1">
    <w:name w:val="Абзац списка1"/>
    <w:basedOn w:val="Normal"/>
    <w:qFormat/>
    <w:pPr>
      <w:spacing w:before="0" w:after="0"/>
      <w:ind w:left="709" w:hanging="0"/>
      <w:contextualSpacing/>
    </w:pPr>
    <w:rPr/>
  </w:style>
  <w:style w:type="paragraph" w:styleId="Style29">
    <w:name w:val="Верхний и нижний колонтитулы"/>
    <w:basedOn w:val="Normal"/>
    <w:qFormat/>
    <w:pPr/>
    <w:rPr/>
  </w:style>
  <w:style w:type="paragraph" w:styleId="Style30">
    <w:name w:val="Header"/>
    <w:basedOn w:val="Style29"/>
    <w:pPr/>
    <w:rPr/>
  </w:style>
  <w:style w:type="paragraph" w:styleId="Style31" w:customStyle="1">
    <w:name w:val="Верхний колонтитул слева"/>
    <w:basedOn w:val="Style30"/>
    <w:qFormat/>
    <w:pPr/>
    <w:rPr/>
  </w:style>
  <w:style w:type="paragraph" w:styleId="Style32">
    <w:name w:val="Footnote Text"/>
    <w:basedOn w:val="Normal"/>
    <w:link w:val="Style17"/>
    <w:pPr>
      <w:suppressLineNumbers/>
      <w:ind w:left="-57" w:firstLine="57"/>
      <w:jc w:val="both"/>
    </w:pPr>
    <w:rPr>
      <w:sz w:val="20"/>
      <w:szCs w:val="20"/>
      <w:vertAlign w:val="superscript"/>
    </w:rPr>
  </w:style>
  <w:style w:type="paragraph" w:styleId="Style33">
    <w:name w:val="Endnote Text"/>
    <w:basedOn w:val="Normal"/>
    <w:pPr>
      <w:suppressLineNumbers/>
      <w:ind w:left="339" w:hanging="339"/>
    </w:pPr>
    <w:rPr>
      <w:sz w:val="20"/>
      <w:szCs w:val="20"/>
    </w:rPr>
  </w:style>
  <w:style w:type="paragraph" w:styleId="ConsPlusNormal" w:customStyle="1">
    <w:name w:val="ConsPlusNormal"/>
    <w:uiPriority w:val="99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rial" w:cs="Courier New"/>
      <w:color w:val="auto"/>
      <w:kern w:val="0"/>
      <w:sz w:val="28"/>
      <w:szCs w:val="24"/>
      <w:lang w:val="ru-RU" w:eastAsia="en-US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Courier New"/>
      <w:b/>
      <w:color w:val="auto"/>
      <w:kern w:val="0"/>
      <w:sz w:val="24"/>
      <w:szCs w:val="24"/>
      <w:lang w:val="ru-RU" w:eastAsia="en-US" w:bidi="ar-SA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ourier New" w:cs="Liberation Serif"/>
      <w:color w:val="auto"/>
      <w:kern w:val="2"/>
      <w:sz w:val="20"/>
      <w:szCs w:val="24"/>
      <w:lang w:val="ru-RU" w:eastAsia="hi-IN" w:bidi="ar-SA"/>
    </w:rPr>
  </w:style>
  <w:style w:type="paragraph" w:styleId="Style34" w:customStyle="1">
    <w:name w:val="Содержимое таблицы"/>
    <w:basedOn w:val="Normal"/>
    <w:qFormat/>
    <w:pPr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1f73b1"/>
    <w:pPr>
      <w:spacing w:lineRule="auto" w:line="240"/>
    </w:pPr>
    <w:rPr>
      <w:rFonts w:ascii="Tahoma" w:hAnsi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685b7d"/>
    <w:pPr/>
    <w:rPr>
      <w:rFonts w:cs="Times New Roman"/>
      <w:sz w:val="24"/>
      <w:szCs w:val="24"/>
    </w:rPr>
  </w:style>
  <w:style w:type="paragraph" w:styleId="Annotationtext">
    <w:name w:val="annotation text"/>
    <w:basedOn w:val="Normal"/>
    <w:link w:val="Style18"/>
    <w:uiPriority w:val="99"/>
    <w:semiHidden/>
    <w:unhideWhenUsed/>
    <w:qFormat/>
    <w:rsid w:val="0085601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9"/>
    <w:uiPriority w:val="99"/>
    <w:semiHidden/>
    <w:unhideWhenUsed/>
    <w:qFormat/>
    <w:rsid w:val="0085601b"/>
    <w:pPr/>
    <w:rPr>
      <w:b/>
      <w:bCs/>
    </w:rPr>
  </w:style>
  <w:style w:type="paragraph" w:styleId="Style36">
    <w:name w:val="Footer"/>
    <w:basedOn w:val="Normal"/>
    <w:link w:val="Style20"/>
    <w:uiPriority w:val="99"/>
    <w:unhideWhenUsed/>
    <w:rsid w:val="00d84da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rsid w:val="002b3f6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ahoma"/>
      <w:color w:val="auto"/>
      <w:kern w:val="0"/>
      <w:sz w:val="28"/>
      <w:szCs w:val="22"/>
      <w:lang w:val="ru-RU" w:eastAsia="en-US" w:bidi="ar-SA"/>
    </w:rPr>
  </w:style>
  <w:style w:type="numbering" w:styleId="Style3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91766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BCB0B-4117-4058-B83A-C7D8B7B0E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Application>LibreOffice/6.4.7.2$Linux_X86_64 LibreOffice_project/40$Build-2</Application>
  <Pages>2</Pages>
  <Words>216</Words>
  <Characters>1477</Characters>
  <CharactersWithSpaces>1771</CharactersWithSpaces>
  <Paragraphs>12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2026-06-25T12:22:00Z</dcterms:created>
  <dc:creator>Машрух Инна Игоревна</dc:creator>
  <dc:description/>
  <dc:language>ru-RU</dc:language>
  <cp:lastModifiedBy/>
  <cp:lastPrinted>2026-08-13T16:23:28Z</cp:lastPrinted>
  <dcterms:modified xsi:type="dcterms:W3CDTF">2026-08-14T08:58:02Z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</Properties>
</file>